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284"/>
        <w:gridCol w:w="4961"/>
      </w:tblGrid>
      <w:tr w:rsidR="0077233F" w:rsidRPr="008E2F1F" w:rsidTr="00243822">
        <w:trPr>
          <w:trHeight w:val="3975"/>
        </w:trPr>
        <w:tc>
          <w:tcPr>
            <w:tcW w:w="4219" w:type="dxa"/>
          </w:tcPr>
          <w:p w:rsidR="0077233F" w:rsidRPr="00D21AA1" w:rsidRDefault="0077233F" w:rsidP="0024382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Рисунок 1" descr="gerb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233F" w:rsidRDefault="0077233F" w:rsidP="00243822">
            <w:pPr>
              <w:pStyle w:val="2"/>
              <w:spacing w:line="240" w:lineRule="exact"/>
              <w:jc w:val="left"/>
              <w:rPr>
                <w:sz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  <w:t xml:space="preserve">                 </w:t>
            </w:r>
            <w:r>
              <w:rPr>
                <w:sz w:val="22"/>
              </w:rPr>
              <w:t>Российская Федерация</w:t>
            </w:r>
          </w:p>
          <w:p w:rsidR="0077233F" w:rsidRDefault="0077233F" w:rsidP="00243822">
            <w:pPr>
              <w:pStyle w:val="2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Новгородская область</w:t>
            </w:r>
          </w:p>
          <w:p w:rsidR="0077233F" w:rsidRDefault="0077233F" w:rsidP="00243822">
            <w:pPr>
              <w:pStyle w:val="2"/>
              <w:spacing w:line="240" w:lineRule="exact"/>
              <w:rPr>
                <w:sz w:val="24"/>
              </w:rPr>
            </w:pPr>
            <w:r>
              <w:rPr>
                <w:sz w:val="22"/>
              </w:rPr>
              <w:t>Батецкий район</w:t>
            </w:r>
          </w:p>
          <w:p w:rsidR="0077233F" w:rsidRDefault="0077233F" w:rsidP="00243822">
            <w:pPr>
              <w:pStyle w:val="2"/>
            </w:pPr>
          </w:p>
          <w:p w:rsidR="0077233F" w:rsidRDefault="0077233F" w:rsidP="00243822">
            <w:pPr>
              <w:pStyle w:val="2"/>
              <w:spacing w:line="240" w:lineRule="exact"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КОМИТЕТ ФИНАнСОВ </w:t>
            </w:r>
            <w:r>
              <w:rPr>
                <w:sz w:val="22"/>
              </w:rPr>
              <w:t>АДМИНИСТРАЦИИ БАТЕЦКОГО МУНИЦИПАЛЬНОГО РАЙОНА</w:t>
            </w:r>
          </w:p>
          <w:p w:rsidR="0077233F" w:rsidRPr="00D21AA1" w:rsidRDefault="0077233F" w:rsidP="002438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             </w:t>
            </w:r>
            <w:r w:rsidRPr="00D21AA1">
              <w:rPr>
                <w:sz w:val="18"/>
              </w:rPr>
              <w:t xml:space="preserve">ул. </w:t>
            </w:r>
            <w:proofErr w:type="gramStart"/>
            <w:r w:rsidRPr="00D21AA1">
              <w:rPr>
                <w:sz w:val="18"/>
              </w:rPr>
              <w:t>Советская</w:t>
            </w:r>
            <w:proofErr w:type="gramEnd"/>
            <w:r w:rsidRPr="00D21AA1">
              <w:rPr>
                <w:sz w:val="18"/>
              </w:rPr>
              <w:t>, д.39а, п. Батецкий,</w:t>
            </w:r>
          </w:p>
          <w:p w:rsidR="0077233F" w:rsidRPr="00D21AA1" w:rsidRDefault="0077233F" w:rsidP="00243822">
            <w:pPr>
              <w:spacing w:after="0" w:line="240" w:lineRule="auto"/>
              <w:jc w:val="center"/>
              <w:rPr>
                <w:sz w:val="18"/>
              </w:rPr>
            </w:pPr>
            <w:r w:rsidRPr="00D21AA1">
              <w:rPr>
                <w:sz w:val="18"/>
              </w:rPr>
              <w:t>Новгородская обл., Россия, 175000</w:t>
            </w:r>
          </w:p>
          <w:p w:rsidR="0077233F" w:rsidRPr="00D21AA1" w:rsidRDefault="0077233F" w:rsidP="00243822">
            <w:pPr>
              <w:spacing w:after="0" w:line="240" w:lineRule="auto"/>
              <w:rPr>
                <w:sz w:val="18"/>
              </w:rPr>
            </w:pPr>
            <w:r w:rsidRPr="00D21AA1">
              <w:rPr>
                <w:sz w:val="18"/>
              </w:rPr>
              <w:t xml:space="preserve">                     Тел.(81661)22-101,22-442</w:t>
            </w:r>
          </w:p>
          <w:p w:rsidR="0077233F" w:rsidRPr="005A1659" w:rsidRDefault="0077233F" w:rsidP="00243822">
            <w:pPr>
              <w:spacing w:after="0" w:line="240" w:lineRule="auto"/>
            </w:pPr>
            <w:r w:rsidRPr="00D21AA1">
              <w:rPr>
                <w:sz w:val="18"/>
              </w:rPr>
              <w:t xml:space="preserve">              </w:t>
            </w:r>
            <w:r>
              <w:rPr>
                <w:sz w:val="20"/>
              </w:rPr>
              <w:t xml:space="preserve">  </w:t>
            </w:r>
            <w:r w:rsidR="009C134A">
              <w:t>22</w:t>
            </w:r>
            <w:r w:rsidRPr="00B41D76">
              <w:t>.</w:t>
            </w:r>
            <w:r w:rsidR="00E429A3">
              <w:t>03.2023</w:t>
            </w:r>
            <w:r>
              <w:t xml:space="preserve">         </w:t>
            </w:r>
            <w:r w:rsidRPr="005A1659">
              <w:t xml:space="preserve">№  </w:t>
            </w:r>
          </w:p>
          <w:p w:rsidR="0077233F" w:rsidRPr="00D21AA1" w:rsidRDefault="0077233F" w:rsidP="0024382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D21AA1">
              <w:t>На №</w:t>
            </w:r>
            <w:r>
              <w:t xml:space="preserve">                     </w:t>
            </w:r>
            <w:r w:rsidRPr="00D21AA1">
              <w:t>от</w:t>
            </w:r>
            <w:r>
              <w:t xml:space="preserve"> </w:t>
            </w:r>
          </w:p>
        </w:tc>
        <w:tc>
          <w:tcPr>
            <w:tcW w:w="284" w:type="dxa"/>
          </w:tcPr>
          <w:p w:rsidR="0077233F" w:rsidRPr="00D21AA1" w:rsidRDefault="0077233F" w:rsidP="00243822"/>
        </w:tc>
        <w:tc>
          <w:tcPr>
            <w:tcW w:w="4961" w:type="dxa"/>
          </w:tcPr>
          <w:p w:rsidR="0077233F" w:rsidRPr="00D21AA1" w:rsidRDefault="0077233F" w:rsidP="00243822">
            <w:pPr>
              <w:rPr>
                <w:sz w:val="26"/>
              </w:rPr>
            </w:pPr>
          </w:p>
          <w:p w:rsidR="0077233F" w:rsidRDefault="0077233F" w:rsidP="00243822">
            <w:pPr>
              <w:pStyle w:val="3"/>
            </w:pPr>
          </w:p>
          <w:p w:rsidR="0077233F" w:rsidRDefault="0077233F" w:rsidP="00243822">
            <w:pPr>
              <w:pStyle w:val="3"/>
            </w:pPr>
          </w:p>
          <w:p w:rsidR="0077233F" w:rsidRDefault="0077233F" w:rsidP="00243822">
            <w:pPr>
              <w:pStyle w:val="3"/>
            </w:pPr>
          </w:p>
          <w:p w:rsidR="0077233F" w:rsidRDefault="0077233F" w:rsidP="00243822">
            <w:pPr>
              <w:pStyle w:val="3"/>
            </w:pPr>
          </w:p>
          <w:p w:rsidR="0077233F" w:rsidRDefault="0077233F" w:rsidP="00243822">
            <w:pPr>
              <w:pStyle w:val="3"/>
            </w:pPr>
          </w:p>
          <w:p w:rsidR="0077233F" w:rsidRPr="0028041A" w:rsidRDefault="0077233F" w:rsidP="004847F0">
            <w:pPr>
              <w:pStyle w:val="3"/>
              <w:rPr>
                <w:szCs w:val="28"/>
              </w:rPr>
            </w:pPr>
            <w:r>
              <w:t xml:space="preserve">     </w:t>
            </w:r>
            <w:r w:rsidRPr="008E2F1F">
              <w:rPr>
                <w:sz w:val="22"/>
                <w:szCs w:val="22"/>
              </w:rPr>
              <w:t xml:space="preserve"> </w:t>
            </w:r>
          </w:p>
          <w:p w:rsidR="0077233F" w:rsidRDefault="0077233F" w:rsidP="00243822">
            <w:pPr>
              <w:pStyle w:val="3"/>
              <w:rPr>
                <w:sz w:val="24"/>
                <w:szCs w:val="24"/>
              </w:rPr>
            </w:pPr>
          </w:p>
          <w:p w:rsidR="0077233F" w:rsidRPr="008E2F1F" w:rsidRDefault="0077233F" w:rsidP="00243822">
            <w:pPr>
              <w:pStyle w:val="3"/>
              <w:rPr>
                <w:sz w:val="24"/>
                <w:szCs w:val="24"/>
              </w:rPr>
            </w:pPr>
          </w:p>
        </w:tc>
      </w:tr>
    </w:tbl>
    <w:p w:rsidR="002C0AA2" w:rsidRDefault="002C0AA2" w:rsidP="002C0AA2">
      <w:pPr>
        <w:pStyle w:val="a3"/>
        <w:spacing w:before="0" w:beforeAutospacing="0" w:after="0" w:afterAutospacing="0"/>
        <w:jc w:val="both"/>
        <w:rPr>
          <w:b/>
        </w:rPr>
      </w:pPr>
    </w:p>
    <w:p w:rsidR="0077233F" w:rsidRDefault="002C0AA2" w:rsidP="002C0AA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О результатах оценки качества</w:t>
      </w:r>
    </w:p>
    <w:p w:rsidR="002C0AA2" w:rsidRDefault="002C0AA2" w:rsidP="002C0AA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управления бюджетным процессом</w:t>
      </w:r>
    </w:p>
    <w:p w:rsidR="002C0AA2" w:rsidRDefault="002C0AA2" w:rsidP="002C0AA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сельскими поселениями района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</w:t>
      </w:r>
    </w:p>
    <w:p w:rsidR="002C0AA2" w:rsidRDefault="00E429A3" w:rsidP="002C0AA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2022</w:t>
      </w:r>
      <w:r w:rsidR="002C0AA2">
        <w:rPr>
          <w:b/>
        </w:rPr>
        <w:t xml:space="preserve"> год</w:t>
      </w:r>
    </w:p>
    <w:p w:rsidR="002C0AA2" w:rsidRDefault="002C0AA2" w:rsidP="002C0AA2">
      <w:pPr>
        <w:pStyle w:val="a3"/>
        <w:spacing w:before="0" w:beforeAutospacing="0" w:after="0" w:afterAutospacing="0"/>
        <w:jc w:val="both"/>
        <w:rPr>
          <w:b/>
        </w:rPr>
      </w:pPr>
    </w:p>
    <w:p w:rsidR="00B204F8" w:rsidRDefault="00B204F8" w:rsidP="00561A67">
      <w:pPr>
        <w:pStyle w:val="a3"/>
        <w:spacing w:after="0" w:afterAutospacing="0"/>
        <w:jc w:val="both"/>
      </w:pPr>
      <w:proofErr w:type="gramStart"/>
      <w:r>
        <w:t>.</w:t>
      </w:r>
      <w:r w:rsidR="00561A67">
        <w:t xml:space="preserve">  </w:t>
      </w:r>
      <w:r w:rsidR="002C0AA2">
        <w:t xml:space="preserve"> Комитетом</w:t>
      </w:r>
      <w:r>
        <w:t xml:space="preserve"> </w:t>
      </w:r>
      <w:r w:rsidR="004847F0">
        <w:t>финансов</w:t>
      </w:r>
      <w:r w:rsidR="002C0AA2">
        <w:t xml:space="preserve"> района</w:t>
      </w:r>
      <w:r w:rsidR="004847F0">
        <w:t xml:space="preserve"> в</w:t>
      </w:r>
      <w:r>
        <w:t xml:space="preserve"> соответствии с постановлением администрации Батецкого муниципального района  от 02.02.2022 года № 59 «О порядке проведения мониторинга соблюдения сельскими поселениями  Батецкого муниципального района требований бюджетного законодательства Российской Федерации и  оценки качества управления  бюджетным процессом в Батецком муниципальном районе»</w:t>
      </w:r>
      <w:r w:rsidR="004847F0">
        <w:t xml:space="preserve"> </w:t>
      </w:r>
      <w:r>
        <w:t xml:space="preserve"> проведен ежегодный мониторинг соблюдения поселениями требований бюджетного законодательства и оценки качества управления </w:t>
      </w:r>
      <w:r w:rsidR="004847F0">
        <w:t xml:space="preserve">бюджетным процессом </w:t>
      </w:r>
      <w:r w:rsidR="00E429A3">
        <w:t xml:space="preserve"> за 2022</w:t>
      </w:r>
      <w:r>
        <w:t xml:space="preserve"> год.</w:t>
      </w:r>
      <w:proofErr w:type="gramEnd"/>
    </w:p>
    <w:p w:rsidR="004847F0" w:rsidRDefault="004847F0" w:rsidP="00B204F8">
      <w:pPr>
        <w:pStyle w:val="a3"/>
        <w:jc w:val="both"/>
      </w:pPr>
      <w:r>
        <w:t xml:space="preserve">      По резуль</w:t>
      </w:r>
      <w:r w:rsidR="00E429A3">
        <w:t>татам комплексной оценки за 2022</w:t>
      </w:r>
      <w:r>
        <w:t xml:space="preserve"> год:</w:t>
      </w:r>
    </w:p>
    <w:p w:rsidR="004847F0" w:rsidRDefault="004847F0" w:rsidP="00B204F8">
      <w:pPr>
        <w:pStyle w:val="a3"/>
        <w:jc w:val="both"/>
      </w:pPr>
      <w:r>
        <w:t xml:space="preserve">- 1 степень качества, свидетельствующая о высоком уровне качества управления бюджетным процессом, присвоена Батецкому </w:t>
      </w:r>
      <w:r w:rsidR="009C134A">
        <w:t xml:space="preserve">и </w:t>
      </w:r>
      <w:proofErr w:type="spellStart"/>
      <w:r w:rsidR="009C134A">
        <w:t>Мойкинскому</w:t>
      </w:r>
      <w:proofErr w:type="spellEnd"/>
      <w:r w:rsidR="009C134A">
        <w:t xml:space="preserve"> сельским поселениям</w:t>
      </w:r>
      <w:r>
        <w:t>.</w:t>
      </w:r>
    </w:p>
    <w:p w:rsidR="004847F0" w:rsidRDefault="004847F0" w:rsidP="00B204F8">
      <w:pPr>
        <w:pStyle w:val="a3"/>
        <w:jc w:val="both"/>
      </w:pPr>
      <w:r>
        <w:t xml:space="preserve">- 2 степень </w:t>
      </w:r>
      <w:r w:rsidR="009C134A">
        <w:t xml:space="preserve">качества присвоена  </w:t>
      </w:r>
      <w:proofErr w:type="spellStart"/>
      <w:r w:rsidR="009C134A">
        <w:t>Передольскому</w:t>
      </w:r>
      <w:proofErr w:type="spellEnd"/>
      <w:r w:rsidR="009C134A">
        <w:t xml:space="preserve">  сельскому  поселению</w:t>
      </w:r>
      <w:r>
        <w:t>.</w:t>
      </w:r>
    </w:p>
    <w:p w:rsidR="00B204F8" w:rsidRDefault="00B204F8" w:rsidP="00B204F8">
      <w:pPr>
        <w:pStyle w:val="a3"/>
        <w:jc w:val="both"/>
      </w:pPr>
      <w:r>
        <w:t xml:space="preserve">    Источником исходных данных для проведения мониторинга использовались финансовая отчетность поселений, нормативные </w:t>
      </w:r>
      <w:r w:rsidRPr="00A321AC">
        <w:t>правовые акты</w:t>
      </w:r>
      <w:r>
        <w:t xml:space="preserve">  органов местного самоуправления поселений и иные данные, представляемые администрациями поселений. Осуществлялось сопоставление с имеющимися данными в комитете финансов.</w:t>
      </w:r>
    </w:p>
    <w:p w:rsidR="00B204F8" w:rsidRDefault="00B204F8" w:rsidP="00B204F8">
      <w:pPr>
        <w:pStyle w:val="a3"/>
        <w:jc w:val="both"/>
      </w:pPr>
      <w:r>
        <w:t xml:space="preserve">    В мониторинге участвовали все</w:t>
      </w:r>
      <w:r w:rsidR="00E429A3">
        <w:t xml:space="preserve"> 3 поселения, действующие в 2022</w:t>
      </w:r>
      <w:r>
        <w:t xml:space="preserve"> году. Соблюдение поселениями требований бюджетного законодательства, оценки качества и организации осуществления бюджетного процесса в поселениях проведено по утвержденным 22 показателям, в том числе:</w:t>
      </w:r>
    </w:p>
    <w:tbl>
      <w:tblPr>
        <w:tblStyle w:val="a4"/>
        <w:tblW w:w="0" w:type="auto"/>
        <w:tblLook w:val="04A0"/>
      </w:tblPr>
      <w:tblGrid>
        <w:gridCol w:w="525"/>
        <w:gridCol w:w="3502"/>
        <w:gridCol w:w="1848"/>
        <w:gridCol w:w="1848"/>
        <w:gridCol w:w="1848"/>
      </w:tblGrid>
      <w:tr w:rsidR="007D4F6C" w:rsidTr="004F0D67">
        <w:tc>
          <w:tcPr>
            <w:tcW w:w="525" w:type="dxa"/>
          </w:tcPr>
          <w:p w:rsidR="007D4F6C" w:rsidRDefault="007D4F6C" w:rsidP="00AE21F8">
            <w:pPr>
              <w:pStyle w:val="a3"/>
              <w:jc w:val="both"/>
            </w:pPr>
          </w:p>
        </w:tc>
        <w:tc>
          <w:tcPr>
            <w:tcW w:w="3502" w:type="dxa"/>
          </w:tcPr>
          <w:p w:rsidR="007D4F6C" w:rsidRDefault="007D4F6C" w:rsidP="00AE21F8">
            <w:pPr>
              <w:pStyle w:val="a3"/>
              <w:jc w:val="both"/>
            </w:pPr>
          </w:p>
        </w:tc>
        <w:tc>
          <w:tcPr>
            <w:tcW w:w="1848" w:type="dxa"/>
          </w:tcPr>
          <w:p w:rsidR="007D4F6C" w:rsidRDefault="007D4F6C" w:rsidP="00AE21F8">
            <w:pPr>
              <w:pStyle w:val="a3"/>
              <w:jc w:val="both"/>
            </w:pPr>
            <w:proofErr w:type="spellStart"/>
            <w:r>
              <w:t>Батецкое</w:t>
            </w:r>
            <w:proofErr w:type="spellEnd"/>
            <w:r>
              <w:t xml:space="preserve"> с/пос.</w:t>
            </w:r>
          </w:p>
        </w:tc>
        <w:tc>
          <w:tcPr>
            <w:tcW w:w="1848" w:type="dxa"/>
          </w:tcPr>
          <w:p w:rsidR="007D4F6C" w:rsidRDefault="007D4F6C" w:rsidP="00AE21F8">
            <w:pPr>
              <w:pStyle w:val="a3"/>
              <w:jc w:val="both"/>
            </w:pPr>
            <w:proofErr w:type="spellStart"/>
            <w:r>
              <w:t>Мойкинское</w:t>
            </w:r>
            <w:proofErr w:type="spellEnd"/>
            <w:r>
              <w:t xml:space="preserve"> с/пос.</w:t>
            </w:r>
          </w:p>
        </w:tc>
        <w:tc>
          <w:tcPr>
            <w:tcW w:w="1848" w:type="dxa"/>
          </w:tcPr>
          <w:p w:rsidR="007D4F6C" w:rsidRDefault="007D4F6C" w:rsidP="00AE21F8">
            <w:pPr>
              <w:pStyle w:val="a3"/>
              <w:jc w:val="both"/>
            </w:pPr>
            <w:proofErr w:type="spellStart"/>
            <w:r>
              <w:t>Передольское</w:t>
            </w:r>
            <w:proofErr w:type="spellEnd"/>
            <w:r>
              <w:t xml:space="preserve"> с/пос.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t>1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 xml:space="preserve">Соблюдение требований статьи 92.1 Бюджетного кодекса Российской Федерации по предельному объему </w:t>
            </w:r>
            <w:r w:rsidRPr="00434C92">
              <w:t xml:space="preserve">дефицита </w:t>
            </w:r>
            <w:r w:rsidRPr="00434C92">
              <w:lastRenderedPageBreak/>
              <w:t>бюджета</w:t>
            </w:r>
            <w:r>
              <w:t xml:space="preserve"> поселения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lastRenderedPageBreak/>
              <w:t>2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>Соблюдение требований статьи 107 Бюджетного кодекса Российской Федерации по предельному объему муниципального долга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t>3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>Соблюдение верхнего предела муниципального долга, установленного решением о бюджете на соответствующий финансовый год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t>4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>Соблюдение требований статьи 111 Бюджетного кодекса Российской Федерации по предельному объему расходов на обслуживание муниципального долга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t>5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>Соблюдение требований статьи 106 Бюджетного кодекса Российской Федерации по предельному объему муниципальных заимствований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t>6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 xml:space="preserve">Соблюдение установленных нормативов формирования расходов на содержание органов местного самоуправления поселения 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t>7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>Количество изменений, внесенных в решение о бюджете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t>8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>Удельный вес расходов бюджета, формируемых в рамках программ, в общем объеме расходов бюджета поселения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4F0D67" w:rsidRDefault="00E429A3" w:rsidP="007D4F6C">
            <w:pPr>
              <w:pStyle w:val="a3"/>
              <w:jc w:val="center"/>
            </w:pPr>
            <w:r>
              <w:t>5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2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t>9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>Отношение показателей уточненного плана по налоговым и неналоговым доходам поселения к показателям первоначального плана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t>10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>Отклонение расходов бюджета в IV квартале от среднего объема расходов за I-III кварталы без учета расходов, произведенных за счет целевых средств, поступивших от других бюджетов 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0</w:t>
            </w:r>
            <w:r w:rsidR="00E429A3">
              <w:t>,5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0</w:t>
            </w:r>
            <w:r w:rsidR="00E429A3">
              <w:t>,5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0</w:t>
            </w:r>
            <w:r w:rsidR="00E429A3">
              <w:t>,5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t>11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 xml:space="preserve">Наличие просроченной </w:t>
            </w:r>
            <w:r w:rsidRPr="00434C92">
              <w:t>кредиторской задолженности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t>12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 xml:space="preserve">Динамика удельного веса дебиторской задолженности к </w:t>
            </w:r>
            <w:r>
              <w:lastRenderedPageBreak/>
              <w:t>объему расходов бюджета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lastRenderedPageBreak/>
              <w:t>1</w:t>
            </w:r>
          </w:p>
        </w:tc>
        <w:tc>
          <w:tcPr>
            <w:tcW w:w="1848" w:type="dxa"/>
          </w:tcPr>
          <w:p w:rsidR="004F0D67" w:rsidRDefault="007D4F6C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E429A3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lastRenderedPageBreak/>
              <w:t>13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>Размещение в средствах массовой информации и (или) на официальном сайте Администрации муниципального образования решений представительного органа  о бюджете, годового отчета о его исполнении, ежеквартальных сведений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t>14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>Наличие фактов использования средств не по целевому назначению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0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t>15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 xml:space="preserve">Проведение </w:t>
            </w:r>
            <w:r w:rsidRPr="00B1431C">
              <w:t>публичных слушаний</w:t>
            </w:r>
            <w:r>
              <w:t xml:space="preserve"> по проекту бюджета муниципального образования и проекту годового отчета об </w:t>
            </w:r>
            <w:r w:rsidRPr="00B1431C">
              <w:t>исполнении бюджета</w:t>
            </w:r>
            <w:r>
              <w:t xml:space="preserve"> муниципального образования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4F0D67" w:rsidTr="004F0D67">
        <w:tc>
          <w:tcPr>
            <w:tcW w:w="525" w:type="dxa"/>
          </w:tcPr>
          <w:p w:rsidR="004F0D67" w:rsidRDefault="004F0D67" w:rsidP="00AE21F8">
            <w:pPr>
              <w:pStyle w:val="a3"/>
              <w:jc w:val="both"/>
            </w:pPr>
            <w:r>
              <w:t>16</w:t>
            </w:r>
          </w:p>
        </w:tc>
        <w:tc>
          <w:tcPr>
            <w:tcW w:w="3502" w:type="dxa"/>
          </w:tcPr>
          <w:p w:rsidR="004F0D67" w:rsidRDefault="004F0D67" w:rsidP="00AE21F8">
            <w:pPr>
              <w:pStyle w:val="a3"/>
              <w:jc w:val="both"/>
            </w:pPr>
            <w:r>
              <w:t>Наличие результатов ежегодной оценки эффективности налоговых льгот и ставок налогов, установленных представительными органами муниципальных образований в соответствии с порядком, утвержденным правовым актом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4F0D67" w:rsidRDefault="004F0D67" w:rsidP="007D4F6C">
            <w:pPr>
              <w:pStyle w:val="a3"/>
              <w:jc w:val="center"/>
            </w:pPr>
            <w:r>
              <w:t>1</w:t>
            </w:r>
          </w:p>
        </w:tc>
      </w:tr>
      <w:tr w:rsidR="009F18A7" w:rsidTr="004F0D67">
        <w:tc>
          <w:tcPr>
            <w:tcW w:w="525" w:type="dxa"/>
          </w:tcPr>
          <w:p w:rsidR="009F18A7" w:rsidRDefault="009F18A7" w:rsidP="00AE21F8">
            <w:pPr>
              <w:pStyle w:val="a3"/>
              <w:jc w:val="both"/>
            </w:pPr>
            <w:r>
              <w:t>17</w:t>
            </w:r>
          </w:p>
        </w:tc>
        <w:tc>
          <w:tcPr>
            <w:tcW w:w="3502" w:type="dxa"/>
          </w:tcPr>
          <w:p w:rsidR="009F18A7" w:rsidRDefault="009F18A7" w:rsidP="00AE21F8">
            <w:pPr>
              <w:pStyle w:val="a3"/>
              <w:jc w:val="both"/>
            </w:pPr>
            <w:r>
              <w:t>Соотношение недополученных доходов по местным налогам в результате действия налоговых льгот, установленных представительными органами муниципальных образований, к общему объему поступивших местных налогов</w:t>
            </w:r>
          </w:p>
        </w:tc>
        <w:tc>
          <w:tcPr>
            <w:tcW w:w="1848" w:type="dxa"/>
          </w:tcPr>
          <w:p w:rsidR="009F18A7" w:rsidRDefault="00E429A3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9F18A7" w:rsidRDefault="00E429A3" w:rsidP="007D4F6C">
            <w:pPr>
              <w:pStyle w:val="a3"/>
              <w:jc w:val="center"/>
            </w:pPr>
            <w:r>
              <w:t>1</w:t>
            </w:r>
          </w:p>
        </w:tc>
        <w:tc>
          <w:tcPr>
            <w:tcW w:w="1848" w:type="dxa"/>
          </w:tcPr>
          <w:p w:rsidR="009F18A7" w:rsidRDefault="00E429A3" w:rsidP="007D4F6C">
            <w:pPr>
              <w:pStyle w:val="a3"/>
              <w:jc w:val="center"/>
            </w:pPr>
            <w:r>
              <w:t>1</w:t>
            </w:r>
          </w:p>
        </w:tc>
      </w:tr>
      <w:tr w:rsidR="009F18A7" w:rsidTr="004F0D67">
        <w:tc>
          <w:tcPr>
            <w:tcW w:w="525" w:type="dxa"/>
          </w:tcPr>
          <w:p w:rsidR="009F18A7" w:rsidRDefault="009F18A7" w:rsidP="00AE21F8">
            <w:pPr>
              <w:pStyle w:val="a3"/>
              <w:jc w:val="both"/>
            </w:pPr>
            <w:r>
              <w:t>18</w:t>
            </w:r>
          </w:p>
        </w:tc>
        <w:tc>
          <w:tcPr>
            <w:tcW w:w="3502" w:type="dxa"/>
          </w:tcPr>
          <w:p w:rsidR="009F18A7" w:rsidRDefault="009F18A7" w:rsidP="00AE21F8">
            <w:pPr>
              <w:pStyle w:val="a3"/>
              <w:jc w:val="both"/>
            </w:pPr>
            <w:r>
              <w:t>Муниципальный правовой акт, устанавливающий порядок формирования муниципального задания</w:t>
            </w:r>
          </w:p>
        </w:tc>
        <w:tc>
          <w:tcPr>
            <w:tcW w:w="1848" w:type="dxa"/>
          </w:tcPr>
          <w:p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</w:tr>
      <w:tr w:rsidR="009F18A7" w:rsidTr="004F0D67">
        <w:tc>
          <w:tcPr>
            <w:tcW w:w="525" w:type="dxa"/>
          </w:tcPr>
          <w:p w:rsidR="009F18A7" w:rsidRDefault="009F18A7" w:rsidP="00AE21F8">
            <w:pPr>
              <w:pStyle w:val="a3"/>
              <w:jc w:val="both"/>
            </w:pPr>
            <w:r>
              <w:t>19</w:t>
            </w:r>
          </w:p>
        </w:tc>
        <w:tc>
          <w:tcPr>
            <w:tcW w:w="3502" w:type="dxa"/>
          </w:tcPr>
          <w:p w:rsidR="009F18A7" w:rsidRDefault="009F18A7" w:rsidP="00AE21F8">
            <w:pPr>
              <w:pStyle w:val="a3"/>
              <w:jc w:val="both"/>
            </w:pPr>
            <w:r>
              <w:t xml:space="preserve">Муниципальный правовой акт, устанавливающий порядок финансового обеспечения выполнения  муниципального </w:t>
            </w:r>
            <w:r>
              <w:lastRenderedPageBreak/>
              <w:t>задания</w:t>
            </w:r>
          </w:p>
        </w:tc>
        <w:tc>
          <w:tcPr>
            <w:tcW w:w="1848" w:type="dxa"/>
          </w:tcPr>
          <w:p w:rsidR="009F18A7" w:rsidRDefault="007D4F6C" w:rsidP="007D4F6C">
            <w:pPr>
              <w:pStyle w:val="a3"/>
              <w:jc w:val="center"/>
            </w:pPr>
            <w:r>
              <w:lastRenderedPageBreak/>
              <w:t>0</w:t>
            </w:r>
          </w:p>
        </w:tc>
        <w:tc>
          <w:tcPr>
            <w:tcW w:w="1848" w:type="dxa"/>
          </w:tcPr>
          <w:p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</w:tr>
      <w:tr w:rsidR="009F18A7" w:rsidTr="004F0D67">
        <w:tc>
          <w:tcPr>
            <w:tcW w:w="525" w:type="dxa"/>
          </w:tcPr>
          <w:p w:rsidR="009F18A7" w:rsidRDefault="009F18A7" w:rsidP="00AE21F8">
            <w:pPr>
              <w:pStyle w:val="a3"/>
              <w:jc w:val="both"/>
            </w:pPr>
            <w:r>
              <w:lastRenderedPageBreak/>
              <w:t>20</w:t>
            </w:r>
          </w:p>
        </w:tc>
        <w:tc>
          <w:tcPr>
            <w:tcW w:w="3502" w:type="dxa"/>
          </w:tcPr>
          <w:p w:rsidR="009F18A7" w:rsidRDefault="009F18A7" w:rsidP="00AE21F8">
            <w:pPr>
              <w:pStyle w:val="a3"/>
              <w:jc w:val="both"/>
            </w:pPr>
            <w:r>
              <w:t>Муниципальный правовой акт, устанавливающий порядок разработки, утверждения и реализации ведомственных целевых программ</w:t>
            </w:r>
          </w:p>
        </w:tc>
        <w:tc>
          <w:tcPr>
            <w:tcW w:w="1848" w:type="dxa"/>
          </w:tcPr>
          <w:p w:rsidR="009F18A7" w:rsidRDefault="007D4F6C" w:rsidP="007D4F6C">
            <w:pPr>
              <w:pStyle w:val="a3"/>
              <w:jc w:val="center"/>
            </w:pPr>
            <w:r>
              <w:t>0,5</w:t>
            </w:r>
          </w:p>
        </w:tc>
        <w:tc>
          <w:tcPr>
            <w:tcW w:w="1848" w:type="dxa"/>
          </w:tcPr>
          <w:p w:rsidR="009F18A7" w:rsidRDefault="007D4F6C" w:rsidP="007D4F6C">
            <w:pPr>
              <w:pStyle w:val="a3"/>
              <w:jc w:val="center"/>
            </w:pPr>
            <w:r>
              <w:t>0,5</w:t>
            </w:r>
          </w:p>
        </w:tc>
        <w:tc>
          <w:tcPr>
            <w:tcW w:w="1848" w:type="dxa"/>
          </w:tcPr>
          <w:p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</w:tr>
      <w:tr w:rsidR="009F18A7" w:rsidTr="004F0D67">
        <w:tc>
          <w:tcPr>
            <w:tcW w:w="525" w:type="dxa"/>
          </w:tcPr>
          <w:p w:rsidR="009F18A7" w:rsidRDefault="009F18A7" w:rsidP="00AE21F8">
            <w:pPr>
              <w:pStyle w:val="a3"/>
              <w:jc w:val="both"/>
            </w:pPr>
            <w:r>
              <w:t>21</w:t>
            </w:r>
          </w:p>
        </w:tc>
        <w:tc>
          <w:tcPr>
            <w:tcW w:w="3502" w:type="dxa"/>
          </w:tcPr>
          <w:p w:rsidR="009F18A7" w:rsidRDefault="009F18A7" w:rsidP="00AE21F8">
            <w:pPr>
              <w:pStyle w:val="a3"/>
              <w:jc w:val="both"/>
            </w:pPr>
            <w:r>
              <w:t>Муниципальный правовой акт, устанавливающий порядок проведения и критерии оценки эффективности реализации долгосрочных целевых программ</w:t>
            </w:r>
          </w:p>
        </w:tc>
        <w:tc>
          <w:tcPr>
            <w:tcW w:w="1848" w:type="dxa"/>
          </w:tcPr>
          <w:p w:rsidR="009F18A7" w:rsidRDefault="007D4F6C" w:rsidP="007D4F6C">
            <w:pPr>
              <w:pStyle w:val="a3"/>
              <w:jc w:val="center"/>
            </w:pPr>
            <w:r>
              <w:t>0,5</w:t>
            </w:r>
          </w:p>
        </w:tc>
        <w:tc>
          <w:tcPr>
            <w:tcW w:w="1848" w:type="dxa"/>
          </w:tcPr>
          <w:p w:rsidR="009F18A7" w:rsidRDefault="007D4F6C" w:rsidP="007D4F6C">
            <w:pPr>
              <w:pStyle w:val="a3"/>
              <w:jc w:val="center"/>
            </w:pPr>
            <w:r>
              <w:t>0,5</w:t>
            </w:r>
          </w:p>
        </w:tc>
        <w:tc>
          <w:tcPr>
            <w:tcW w:w="1848" w:type="dxa"/>
          </w:tcPr>
          <w:p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</w:tr>
      <w:tr w:rsidR="009F18A7" w:rsidTr="004F0D67">
        <w:tc>
          <w:tcPr>
            <w:tcW w:w="525" w:type="dxa"/>
          </w:tcPr>
          <w:p w:rsidR="009F18A7" w:rsidRDefault="009F18A7" w:rsidP="00AE21F8">
            <w:pPr>
              <w:pStyle w:val="a3"/>
              <w:jc w:val="both"/>
            </w:pPr>
            <w:r>
              <w:t>22</w:t>
            </w:r>
          </w:p>
        </w:tc>
        <w:tc>
          <w:tcPr>
            <w:tcW w:w="3502" w:type="dxa"/>
          </w:tcPr>
          <w:p w:rsidR="009F18A7" w:rsidRDefault="009F18A7" w:rsidP="00AE21F8">
            <w:pPr>
              <w:pStyle w:val="a3"/>
              <w:jc w:val="both"/>
            </w:pPr>
            <w:r>
              <w:t xml:space="preserve">Удельный вес расходов бюджета муниципального образования на оказание муниципальных услуг (работ), оказываемых (выполняемых) в соответствии с муниципальным заданием, в общем объеме расходов бюджета муниципального образования (за исключением межбюджетных трансфертов бюджетам поселений расходов на обслуживание муниципальных долговых обязательств) </w:t>
            </w:r>
          </w:p>
        </w:tc>
        <w:tc>
          <w:tcPr>
            <w:tcW w:w="1848" w:type="dxa"/>
          </w:tcPr>
          <w:p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  <w:tc>
          <w:tcPr>
            <w:tcW w:w="1848" w:type="dxa"/>
          </w:tcPr>
          <w:p w:rsidR="009F18A7" w:rsidRDefault="007D4F6C" w:rsidP="007D4F6C">
            <w:pPr>
              <w:pStyle w:val="a3"/>
              <w:jc w:val="center"/>
            </w:pPr>
            <w:r>
              <w:t>0</w:t>
            </w:r>
          </w:p>
        </w:tc>
      </w:tr>
      <w:tr w:rsidR="007D4F6C" w:rsidTr="007D4F6C">
        <w:trPr>
          <w:trHeight w:val="473"/>
        </w:trPr>
        <w:tc>
          <w:tcPr>
            <w:tcW w:w="525" w:type="dxa"/>
          </w:tcPr>
          <w:p w:rsidR="007D4F6C" w:rsidRDefault="007D4F6C" w:rsidP="00AE21F8">
            <w:pPr>
              <w:pStyle w:val="a3"/>
              <w:jc w:val="both"/>
            </w:pPr>
          </w:p>
        </w:tc>
        <w:tc>
          <w:tcPr>
            <w:tcW w:w="3502" w:type="dxa"/>
          </w:tcPr>
          <w:p w:rsidR="007D4F6C" w:rsidRPr="007D4F6C" w:rsidRDefault="007D4F6C" w:rsidP="00AE21F8">
            <w:pPr>
              <w:pStyle w:val="a3"/>
              <w:jc w:val="both"/>
              <w:rPr>
                <w:b/>
              </w:rPr>
            </w:pPr>
            <w:r w:rsidRPr="007D4F6C">
              <w:rPr>
                <w:b/>
              </w:rPr>
              <w:t>Итого</w:t>
            </w:r>
          </w:p>
        </w:tc>
        <w:tc>
          <w:tcPr>
            <w:tcW w:w="1848" w:type="dxa"/>
          </w:tcPr>
          <w:p w:rsidR="007D4F6C" w:rsidRPr="007D4F6C" w:rsidRDefault="007D4F6C" w:rsidP="007D4F6C">
            <w:pPr>
              <w:pStyle w:val="a3"/>
              <w:jc w:val="center"/>
              <w:rPr>
                <w:b/>
              </w:rPr>
            </w:pPr>
            <w:r w:rsidRPr="007D4F6C">
              <w:rPr>
                <w:b/>
              </w:rPr>
              <w:t>1</w:t>
            </w:r>
            <w:r w:rsidR="00E429A3">
              <w:rPr>
                <w:b/>
              </w:rPr>
              <w:t>9,5</w:t>
            </w:r>
          </w:p>
        </w:tc>
        <w:tc>
          <w:tcPr>
            <w:tcW w:w="1848" w:type="dxa"/>
          </w:tcPr>
          <w:p w:rsidR="007D4F6C" w:rsidRPr="007D4F6C" w:rsidRDefault="007D4F6C" w:rsidP="007D4F6C">
            <w:pPr>
              <w:pStyle w:val="a3"/>
              <w:jc w:val="center"/>
              <w:rPr>
                <w:b/>
              </w:rPr>
            </w:pPr>
            <w:r w:rsidRPr="007D4F6C">
              <w:rPr>
                <w:b/>
              </w:rPr>
              <w:t>1</w:t>
            </w:r>
            <w:r w:rsidR="00E429A3">
              <w:rPr>
                <w:b/>
              </w:rPr>
              <w:t>8,5</w:t>
            </w:r>
          </w:p>
        </w:tc>
        <w:tc>
          <w:tcPr>
            <w:tcW w:w="1848" w:type="dxa"/>
          </w:tcPr>
          <w:p w:rsidR="007D4F6C" w:rsidRPr="007D4F6C" w:rsidRDefault="007D4F6C" w:rsidP="007D4F6C">
            <w:pPr>
              <w:pStyle w:val="a3"/>
              <w:jc w:val="center"/>
              <w:rPr>
                <w:b/>
              </w:rPr>
            </w:pPr>
            <w:r w:rsidRPr="007D4F6C">
              <w:rPr>
                <w:b/>
              </w:rPr>
              <w:t>1</w:t>
            </w:r>
            <w:r w:rsidR="00E429A3">
              <w:rPr>
                <w:b/>
              </w:rPr>
              <w:t>4,5</w:t>
            </w:r>
          </w:p>
        </w:tc>
      </w:tr>
    </w:tbl>
    <w:p w:rsidR="00B204F8" w:rsidRDefault="00B204F8" w:rsidP="00B204F8">
      <w:pPr>
        <w:pStyle w:val="a3"/>
        <w:jc w:val="both"/>
      </w:pPr>
      <w:r>
        <w:t xml:space="preserve">    В соответствии с порядком осуществления мониторинга соблюдения сельскими поселениями  требований бюджетного законодательства Российской Федерации и  оценки качества управления  бюджетным  процессом в поселениях, входящих в состав Батецкого</w:t>
      </w:r>
      <w:r w:rsidRPr="00B204F8">
        <w:t xml:space="preserve"> </w:t>
      </w:r>
      <w:r>
        <w:t>муниципального района, оценка качества измеряется в баллах. Максимально возможная сумма балльной оценки индикаторов составляет 21 балл.</w:t>
      </w:r>
    </w:p>
    <w:p w:rsidR="00B204F8" w:rsidRDefault="00B204F8" w:rsidP="00B204F8">
      <w:pPr>
        <w:pStyle w:val="a3"/>
        <w:jc w:val="both"/>
      </w:pPr>
      <w:r>
        <w:t xml:space="preserve">   По результатам оценки составлен индивидуальный рейтинг каждого поселения, входящего в состав Батецкого муниципального района.</w:t>
      </w:r>
    </w:p>
    <w:p w:rsidR="00B204F8" w:rsidRDefault="00B204F8" w:rsidP="00B204F8">
      <w:pPr>
        <w:pStyle w:val="a3"/>
        <w:jc w:val="both"/>
      </w:pPr>
      <w:r>
        <w:t xml:space="preserve">   Результаты оценки представлены в таблице рейтинга: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B204F8" w:rsidTr="00AE21F8">
        <w:tc>
          <w:tcPr>
            <w:tcW w:w="675" w:type="dxa"/>
          </w:tcPr>
          <w:p w:rsidR="00B204F8" w:rsidRDefault="00B204F8" w:rsidP="00AE21F8">
            <w:pPr>
              <w:pStyle w:val="a3"/>
              <w:jc w:val="both"/>
            </w:pPr>
          </w:p>
        </w:tc>
        <w:tc>
          <w:tcPr>
            <w:tcW w:w="5705" w:type="dxa"/>
          </w:tcPr>
          <w:p w:rsidR="00B204F8" w:rsidRDefault="00B204F8" w:rsidP="00AE21F8">
            <w:pPr>
              <w:pStyle w:val="a3"/>
              <w:jc w:val="both"/>
            </w:pPr>
            <w:r>
              <w:t>Наименование поселения</w:t>
            </w:r>
          </w:p>
        </w:tc>
        <w:tc>
          <w:tcPr>
            <w:tcW w:w="3191" w:type="dxa"/>
          </w:tcPr>
          <w:p w:rsidR="00B204F8" w:rsidRDefault="00B204F8" w:rsidP="00AE21F8">
            <w:pPr>
              <w:pStyle w:val="a3"/>
              <w:jc w:val="both"/>
            </w:pPr>
            <w:r>
              <w:t>Сумма бальной оценки индикатора</w:t>
            </w:r>
          </w:p>
        </w:tc>
      </w:tr>
      <w:tr w:rsidR="00561A67" w:rsidTr="002170CC">
        <w:tc>
          <w:tcPr>
            <w:tcW w:w="9571" w:type="dxa"/>
            <w:gridSpan w:val="3"/>
          </w:tcPr>
          <w:p w:rsidR="00561A67" w:rsidRPr="00561A67" w:rsidRDefault="00561A67" w:rsidP="006720C5">
            <w:pPr>
              <w:pStyle w:val="a3"/>
              <w:spacing w:after="0" w:afterAutospacing="0"/>
              <w:jc w:val="center"/>
            </w:pPr>
            <w:r>
              <w:rPr>
                <w:lang w:val="en-US"/>
              </w:rPr>
              <w:t>I</w:t>
            </w:r>
            <w:r w:rsidRPr="00561A67">
              <w:t xml:space="preserve"> Степень качества управления бюджетным процессом</w:t>
            </w:r>
          </w:p>
        </w:tc>
      </w:tr>
      <w:tr w:rsidR="00B204F8" w:rsidTr="00AE21F8">
        <w:tc>
          <w:tcPr>
            <w:tcW w:w="675" w:type="dxa"/>
          </w:tcPr>
          <w:p w:rsidR="00B204F8" w:rsidRDefault="00B204F8" w:rsidP="00561A67">
            <w:pPr>
              <w:pStyle w:val="a3"/>
              <w:spacing w:after="0" w:afterAutospacing="0"/>
              <w:jc w:val="both"/>
            </w:pPr>
            <w:r>
              <w:t>1</w:t>
            </w:r>
          </w:p>
        </w:tc>
        <w:tc>
          <w:tcPr>
            <w:tcW w:w="5705" w:type="dxa"/>
          </w:tcPr>
          <w:p w:rsidR="00B204F8" w:rsidRDefault="00B204F8" w:rsidP="00AE21F8">
            <w:pPr>
              <w:pStyle w:val="a3"/>
              <w:jc w:val="both"/>
            </w:pPr>
            <w:proofErr w:type="spellStart"/>
            <w:r>
              <w:t>Батецкое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</w:tcPr>
          <w:p w:rsidR="00B204F8" w:rsidRDefault="00B204F8" w:rsidP="00AE21F8">
            <w:pPr>
              <w:pStyle w:val="a3"/>
              <w:jc w:val="center"/>
            </w:pPr>
            <w:r>
              <w:t>1</w:t>
            </w:r>
            <w:r w:rsidR="0058207E">
              <w:t>9,5</w:t>
            </w:r>
          </w:p>
        </w:tc>
      </w:tr>
      <w:tr w:rsidR="00B204F8" w:rsidTr="00AE21F8">
        <w:tc>
          <w:tcPr>
            <w:tcW w:w="675" w:type="dxa"/>
          </w:tcPr>
          <w:p w:rsidR="00B204F8" w:rsidRDefault="00B204F8" w:rsidP="00AE21F8">
            <w:pPr>
              <w:pStyle w:val="a3"/>
              <w:jc w:val="both"/>
            </w:pPr>
            <w:r>
              <w:t>2</w:t>
            </w:r>
          </w:p>
        </w:tc>
        <w:tc>
          <w:tcPr>
            <w:tcW w:w="5705" w:type="dxa"/>
          </w:tcPr>
          <w:p w:rsidR="00B204F8" w:rsidRDefault="00B204F8" w:rsidP="00AE21F8">
            <w:pPr>
              <w:pStyle w:val="a3"/>
              <w:jc w:val="both"/>
            </w:pPr>
            <w:proofErr w:type="spellStart"/>
            <w:r>
              <w:t>Мойкинское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</w:tcPr>
          <w:p w:rsidR="00B204F8" w:rsidRDefault="00B204F8" w:rsidP="00AE21F8">
            <w:pPr>
              <w:pStyle w:val="a3"/>
              <w:jc w:val="center"/>
            </w:pPr>
            <w:r>
              <w:t>1</w:t>
            </w:r>
            <w:r w:rsidR="0058207E">
              <w:t>8,5</w:t>
            </w:r>
          </w:p>
        </w:tc>
      </w:tr>
      <w:tr w:rsidR="00561A67" w:rsidTr="006A04B0">
        <w:tc>
          <w:tcPr>
            <w:tcW w:w="9571" w:type="dxa"/>
            <w:gridSpan w:val="3"/>
          </w:tcPr>
          <w:p w:rsidR="00561A67" w:rsidRPr="006720C5" w:rsidRDefault="00561A67" w:rsidP="00AE21F8">
            <w:pPr>
              <w:pStyle w:val="a3"/>
              <w:jc w:val="center"/>
            </w:pPr>
            <w:r>
              <w:rPr>
                <w:lang w:val="en-US"/>
              </w:rPr>
              <w:t>II</w:t>
            </w:r>
            <w:r w:rsidR="006720C5">
              <w:t xml:space="preserve"> Степень качества управления бюджетным процессом</w:t>
            </w:r>
          </w:p>
        </w:tc>
      </w:tr>
      <w:tr w:rsidR="00B204F8" w:rsidTr="00AE21F8">
        <w:tc>
          <w:tcPr>
            <w:tcW w:w="675" w:type="dxa"/>
          </w:tcPr>
          <w:p w:rsidR="00B204F8" w:rsidRDefault="00B204F8" w:rsidP="00AE21F8">
            <w:pPr>
              <w:pStyle w:val="a3"/>
              <w:jc w:val="both"/>
            </w:pPr>
            <w:r>
              <w:t>3</w:t>
            </w:r>
          </w:p>
        </w:tc>
        <w:tc>
          <w:tcPr>
            <w:tcW w:w="5705" w:type="dxa"/>
          </w:tcPr>
          <w:p w:rsidR="00B204F8" w:rsidRDefault="00B204F8" w:rsidP="00AE21F8">
            <w:pPr>
              <w:pStyle w:val="a3"/>
              <w:jc w:val="both"/>
            </w:pPr>
            <w:proofErr w:type="spellStart"/>
            <w:r>
              <w:t>Передольское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191" w:type="dxa"/>
          </w:tcPr>
          <w:p w:rsidR="00B204F8" w:rsidRDefault="00B204F8" w:rsidP="00AE21F8">
            <w:pPr>
              <w:pStyle w:val="a3"/>
              <w:jc w:val="center"/>
            </w:pPr>
            <w:r>
              <w:t>1</w:t>
            </w:r>
            <w:r w:rsidR="0058207E">
              <w:t>4,5</w:t>
            </w:r>
          </w:p>
        </w:tc>
      </w:tr>
      <w:tr w:rsidR="00B204F8" w:rsidTr="00AE21F8">
        <w:trPr>
          <w:trHeight w:val="438"/>
        </w:trPr>
        <w:tc>
          <w:tcPr>
            <w:tcW w:w="675" w:type="dxa"/>
          </w:tcPr>
          <w:p w:rsidR="00B204F8" w:rsidRDefault="00B204F8" w:rsidP="00AE21F8">
            <w:pPr>
              <w:pStyle w:val="a3"/>
              <w:jc w:val="both"/>
            </w:pPr>
          </w:p>
        </w:tc>
        <w:tc>
          <w:tcPr>
            <w:tcW w:w="5705" w:type="dxa"/>
          </w:tcPr>
          <w:p w:rsidR="00B204F8" w:rsidRPr="006D1F3E" w:rsidRDefault="00B204F8" w:rsidP="00AE21F8">
            <w:pPr>
              <w:pStyle w:val="a3"/>
              <w:jc w:val="both"/>
              <w:rPr>
                <w:b/>
              </w:rPr>
            </w:pPr>
            <w:proofErr w:type="spellStart"/>
            <w:r w:rsidRPr="006D1F3E">
              <w:rPr>
                <w:b/>
              </w:rPr>
              <w:t>Среднерайонный</w:t>
            </w:r>
            <w:proofErr w:type="spellEnd"/>
            <w:r w:rsidRPr="006D1F3E">
              <w:rPr>
                <w:b/>
              </w:rPr>
              <w:t xml:space="preserve"> балл</w:t>
            </w:r>
          </w:p>
        </w:tc>
        <w:tc>
          <w:tcPr>
            <w:tcW w:w="3191" w:type="dxa"/>
          </w:tcPr>
          <w:p w:rsidR="00B204F8" w:rsidRPr="007F2DB5" w:rsidRDefault="00B204F8" w:rsidP="00AE21F8">
            <w:pPr>
              <w:pStyle w:val="a3"/>
              <w:jc w:val="center"/>
              <w:rPr>
                <w:b/>
              </w:rPr>
            </w:pPr>
            <w:r w:rsidRPr="007F2DB5">
              <w:rPr>
                <w:b/>
              </w:rPr>
              <w:t>1</w:t>
            </w:r>
            <w:r w:rsidR="0058207E">
              <w:rPr>
                <w:b/>
              </w:rPr>
              <w:t>7,5</w:t>
            </w:r>
          </w:p>
        </w:tc>
      </w:tr>
    </w:tbl>
    <w:p w:rsidR="00B204F8" w:rsidRDefault="00B204F8" w:rsidP="00B204F8">
      <w:pPr>
        <w:pStyle w:val="a3"/>
        <w:jc w:val="both"/>
      </w:pPr>
      <w:r>
        <w:lastRenderedPageBreak/>
        <w:t xml:space="preserve">     Наивысший балл оценки качества организации и осущес</w:t>
      </w:r>
      <w:r w:rsidR="0058207E">
        <w:t>твления бюджетного процесса – 19,5</w:t>
      </w:r>
      <w:r>
        <w:t xml:space="preserve"> баллов получило </w:t>
      </w:r>
      <w:proofErr w:type="spellStart"/>
      <w:r>
        <w:t>Батецкое</w:t>
      </w:r>
      <w:proofErr w:type="spellEnd"/>
      <w:r>
        <w:t xml:space="preserve"> сельское поселение.</w:t>
      </w:r>
    </w:p>
    <w:p w:rsidR="00B204F8" w:rsidRDefault="00B204F8" w:rsidP="00B204F8">
      <w:pPr>
        <w:pStyle w:val="a3"/>
        <w:jc w:val="both"/>
      </w:pPr>
      <w:r>
        <w:t xml:space="preserve">     По результатам мониторинга все поселения района можно разделить на две группы:</w:t>
      </w:r>
    </w:p>
    <w:p w:rsidR="00B204F8" w:rsidRPr="004949E4" w:rsidRDefault="00B204F8" w:rsidP="00B204F8">
      <w:pPr>
        <w:pStyle w:val="a3"/>
        <w:jc w:val="both"/>
        <w:rPr>
          <w:b/>
        </w:rPr>
      </w:pPr>
      <w:r w:rsidRPr="004949E4">
        <w:rPr>
          <w:b/>
        </w:rPr>
        <w:t xml:space="preserve">- с комплексной оценкой выше </w:t>
      </w:r>
      <w:proofErr w:type="spellStart"/>
      <w:r w:rsidRPr="004949E4">
        <w:rPr>
          <w:b/>
        </w:rPr>
        <w:t>среднерай</w:t>
      </w:r>
      <w:r w:rsidR="0058207E">
        <w:rPr>
          <w:b/>
        </w:rPr>
        <w:t>онного</w:t>
      </w:r>
      <w:proofErr w:type="spellEnd"/>
      <w:r w:rsidR="0058207E">
        <w:rPr>
          <w:b/>
        </w:rPr>
        <w:t xml:space="preserve">  балла – 2 поселения</w:t>
      </w:r>
    </w:p>
    <w:p w:rsidR="00B204F8" w:rsidRPr="004949E4" w:rsidRDefault="00B204F8" w:rsidP="00B204F8">
      <w:pPr>
        <w:pStyle w:val="a3"/>
        <w:jc w:val="both"/>
        <w:rPr>
          <w:b/>
        </w:rPr>
      </w:pPr>
      <w:r w:rsidRPr="004949E4">
        <w:rPr>
          <w:b/>
        </w:rPr>
        <w:t>- с комплексной оценко</w:t>
      </w:r>
      <w:r w:rsidR="0058207E">
        <w:rPr>
          <w:b/>
        </w:rPr>
        <w:t xml:space="preserve">й ниже </w:t>
      </w:r>
      <w:proofErr w:type="spellStart"/>
      <w:r w:rsidR="0058207E">
        <w:rPr>
          <w:b/>
        </w:rPr>
        <w:t>среднерайонного</w:t>
      </w:r>
      <w:proofErr w:type="spellEnd"/>
      <w:r w:rsidR="0058207E">
        <w:rPr>
          <w:b/>
        </w:rPr>
        <w:t xml:space="preserve"> балла – 1 поселение</w:t>
      </w:r>
    </w:p>
    <w:p w:rsidR="00B204F8" w:rsidRDefault="00B204F8" w:rsidP="00B204F8">
      <w:pPr>
        <w:pStyle w:val="a3"/>
        <w:jc w:val="center"/>
        <w:rPr>
          <w:b/>
        </w:rPr>
      </w:pPr>
      <w:r w:rsidRPr="004949E4">
        <w:rPr>
          <w:b/>
        </w:rPr>
        <w:t>Итоги по отдельным направлениям мониторинга</w:t>
      </w:r>
    </w:p>
    <w:p w:rsidR="00B204F8" w:rsidRDefault="00B204F8" w:rsidP="00B204F8">
      <w:pPr>
        <w:pStyle w:val="a3"/>
      </w:pPr>
      <w:r>
        <w:rPr>
          <w:b/>
        </w:rPr>
        <w:t xml:space="preserve">     </w:t>
      </w:r>
      <w:r w:rsidRPr="00C64C0A">
        <w:t xml:space="preserve">Проведенный </w:t>
      </w:r>
      <w:r>
        <w:t>анализ показал положительные итоги соблюдения всеми поселениями требований бюджетного законодательства Российской  Федерации.</w:t>
      </w:r>
    </w:p>
    <w:p w:rsidR="00B204F8" w:rsidRDefault="00B204F8" w:rsidP="00B204F8">
      <w:pPr>
        <w:pStyle w:val="a3"/>
      </w:pPr>
      <w:r w:rsidRPr="004714C1">
        <w:t xml:space="preserve"> </w:t>
      </w:r>
      <w:r>
        <w:t>Требования статьи 92.1 Бюджетного кодекса по предельному объему дефицита бюджета выполнены всеми поселениями.</w:t>
      </w:r>
    </w:p>
    <w:p w:rsidR="00B204F8" w:rsidRDefault="00B204F8" w:rsidP="00B204F8">
      <w:pPr>
        <w:pStyle w:val="a3"/>
      </w:pPr>
      <w:r>
        <w:t>Требования Бюджетного кодекса по предельному объему муниципального долга выполнены всеми поселениями в полном объеме.</w:t>
      </w:r>
    </w:p>
    <w:p w:rsidR="00B204F8" w:rsidRDefault="00B204F8" w:rsidP="00B204F8">
      <w:pPr>
        <w:pStyle w:val="a3"/>
      </w:pPr>
      <w:r>
        <w:t xml:space="preserve">Требования Бюджетного кодекса по соблюдению </w:t>
      </w:r>
      <w:proofErr w:type="gramStart"/>
      <w:r>
        <w:t>верхнего предела муниципального долга, установленного в решении о бюджете не нарушены</w:t>
      </w:r>
      <w:proofErr w:type="gramEnd"/>
      <w:r>
        <w:t>.</w:t>
      </w:r>
    </w:p>
    <w:p w:rsidR="00B204F8" w:rsidRDefault="00B204F8" w:rsidP="00B204F8">
      <w:pPr>
        <w:pStyle w:val="a3"/>
        <w:jc w:val="both"/>
      </w:pPr>
      <w:r>
        <w:t>Требования статьи 111 Бюджетного кодекса выполнены всеми поселениями в полном объеме.</w:t>
      </w:r>
    </w:p>
    <w:p w:rsidR="00B204F8" w:rsidRDefault="00B204F8" w:rsidP="00B204F8">
      <w:pPr>
        <w:pStyle w:val="a3"/>
        <w:jc w:val="both"/>
      </w:pPr>
      <w:r>
        <w:t xml:space="preserve"> </w:t>
      </w:r>
      <w:r w:rsidR="0058207E">
        <w:t xml:space="preserve">   Превышение поселениями в 2022</w:t>
      </w:r>
      <w:r>
        <w:t xml:space="preserve"> году норматива на содержание депутатов, выборных должностных лиц местного самоуправления, осуществляющих свои полномочия на постоянной основе, муниципальных служащих органов местного самоуправления не установлено.</w:t>
      </w:r>
    </w:p>
    <w:p w:rsidR="00B204F8" w:rsidRDefault="00B204F8" w:rsidP="00B204F8">
      <w:pPr>
        <w:pStyle w:val="a3"/>
      </w:pPr>
      <w:r>
        <w:t xml:space="preserve">     Все п</w:t>
      </w:r>
      <w:r w:rsidR="0058207E">
        <w:t>оселения приняли бюджеты на 2022</w:t>
      </w:r>
      <w:r>
        <w:t xml:space="preserve"> год до начала финансового года, тем самым, заложив основу для качественной организации бюджетного процесса.</w:t>
      </w:r>
    </w:p>
    <w:p w:rsidR="00B204F8" w:rsidRDefault="00B204F8" w:rsidP="00B204F8">
      <w:pPr>
        <w:pStyle w:val="a3"/>
      </w:pPr>
      <w:r>
        <w:t xml:space="preserve">   Результаты мониторинга будут размещены на официальном сайте Администрации Батецкого муниципального района</w:t>
      </w:r>
    </w:p>
    <w:p w:rsidR="00B204F8" w:rsidRDefault="00B204F8" w:rsidP="00B204F8">
      <w:pPr>
        <w:pStyle w:val="a3"/>
        <w:jc w:val="both"/>
      </w:pPr>
    </w:p>
    <w:p w:rsidR="00A11DF6" w:rsidRDefault="00A11DF6"/>
    <w:sectPr w:rsidR="00A11DF6" w:rsidSect="002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4F8"/>
    <w:rsid w:val="002C0AA2"/>
    <w:rsid w:val="002D7853"/>
    <w:rsid w:val="004847F0"/>
    <w:rsid w:val="004F0D67"/>
    <w:rsid w:val="004F3409"/>
    <w:rsid w:val="00561A67"/>
    <w:rsid w:val="00570F8A"/>
    <w:rsid w:val="0058207E"/>
    <w:rsid w:val="006720C5"/>
    <w:rsid w:val="00694DFD"/>
    <w:rsid w:val="00757182"/>
    <w:rsid w:val="0077233F"/>
    <w:rsid w:val="007D4F6C"/>
    <w:rsid w:val="00843AED"/>
    <w:rsid w:val="009C134A"/>
    <w:rsid w:val="009F18A7"/>
    <w:rsid w:val="00A11DF6"/>
    <w:rsid w:val="00B204F8"/>
    <w:rsid w:val="00BC6C63"/>
    <w:rsid w:val="00E429A3"/>
    <w:rsid w:val="00EB1D6B"/>
    <w:rsid w:val="00FF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3"/>
  </w:style>
  <w:style w:type="paragraph" w:styleId="7">
    <w:name w:val="heading 7"/>
    <w:basedOn w:val="a"/>
    <w:next w:val="a"/>
    <w:link w:val="70"/>
    <w:qFormat/>
    <w:rsid w:val="0077233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20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F3409"/>
    <w:pPr>
      <w:spacing w:after="0" w:line="280" w:lineRule="exac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4F340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4F3409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F340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40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77233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2023-03-21T11:27:00Z</dcterms:created>
  <dcterms:modified xsi:type="dcterms:W3CDTF">2023-03-28T12:45:00Z</dcterms:modified>
</cp:coreProperties>
</file>