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463279">
        <w:t>Порядок предоставления субсидии субъектам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B92934">
        <w:rPr>
          <w:lang w:eastAsia="ar-SA"/>
        </w:rPr>
        <w:t>14 апреля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010D5"/>
    <w:rsid w:val="00083E34"/>
    <w:rsid w:val="001F3517"/>
    <w:rsid w:val="00242934"/>
    <w:rsid w:val="00246B2F"/>
    <w:rsid w:val="002547CA"/>
    <w:rsid w:val="00463279"/>
    <w:rsid w:val="004C4301"/>
    <w:rsid w:val="005513C1"/>
    <w:rsid w:val="00582C2D"/>
    <w:rsid w:val="006422CA"/>
    <w:rsid w:val="007159D7"/>
    <w:rsid w:val="00737CC5"/>
    <w:rsid w:val="00930AF1"/>
    <w:rsid w:val="009B1B47"/>
    <w:rsid w:val="00B92934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Company>Grizli777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2021-06-07T09:38:00Z</dcterms:created>
  <dcterms:modified xsi:type="dcterms:W3CDTF">2021-06-07T09:38:00Z</dcterms:modified>
</cp:coreProperties>
</file>