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DA" w:rsidRPr="00E53F53" w:rsidRDefault="000A36DA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03B" w:rsidRPr="00E53F53" w:rsidRDefault="00D717DE" w:rsidP="00FE0A4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Утверждены</w:t>
      </w:r>
      <w:bookmarkStart w:id="0" w:name="_GoBack"/>
      <w:bookmarkEnd w:id="0"/>
    </w:p>
    <w:p w:rsidR="0059703B" w:rsidRPr="00E53F53" w:rsidRDefault="0059703B" w:rsidP="00FE0A4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решением Думы Батецкого</w:t>
      </w:r>
    </w:p>
    <w:p w:rsidR="0059703B" w:rsidRPr="00E53F53" w:rsidRDefault="0059703B" w:rsidP="00FE0A4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муниципального района</w:t>
      </w:r>
    </w:p>
    <w:p w:rsidR="0059703B" w:rsidRPr="00E53F53" w:rsidRDefault="0059703B" w:rsidP="00FE0A4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___________№ ______</w:t>
      </w:r>
    </w:p>
    <w:p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:rsidR="00A3046D" w:rsidRPr="00E53F53" w:rsidRDefault="00A3046D" w:rsidP="00A3046D">
      <w:pPr>
        <w:spacing w:after="5"/>
        <w:ind w:left="10" w:right="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:rsidR="00A3046D" w:rsidRPr="00E53F53" w:rsidRDefault="00A3046D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предоставленияиметодикараспределенияиныхмежбюджетныхтрансфертовбюджетам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нафинансовоеобеспечениезатратпосозданиюи(или)содержаниюмест(площадок)накоплениятвердыхкоммунальныхотходовв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E53F53">
        <w:rPr>
          <w:rFonts w:ascii="Times New Roman" w:hAnsi="Times New Roman" w:cs="Times New Roman"/>
          <w:sz w:val="28"/>
          <w:szCs w:val="28"/>
        </w:rPr>
        <w:t>году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поселений  района на финансирование расходных обязательств, связанных с финансовым обеспечением затрат по созданию и (или) содержанию мест (площадок) накопления твердых коммунальных отходов в 2022 году</w:t>
      </w:r>
      <w:r w:rsidR="00430209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2022 год и на плановый период 2023 и 2024 годов» (далее – бюджет района).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по созданию и (или) содержанию мест (площадок) накопления твердых коммунальных отходов 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Распределениеиныхмежбюджетныхтрансфертовбюджетампоселенийосуществляетсяпоследующейметодике:</w:t>
      </w:r>
    </w:p>
    <w:p w:rsidR="00A3046D" w:rsidRPr="00E53F53" w:rsidRDefault="009B091A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091A"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<v:shape id="Shape 6132" o:spid="_x0000_s1027" style="position:absolute;width:8102;height:0;visibility:visible" coordsize="8102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adj="0,,0" path="m,l810260,e" filled="f" strokeweight=".5pt">
              <v:stroke miterlimit="83231f" joinstyle="miter"/>
              <v:formulas/>
              <v:path arrowok="t" o:connecttype="segments" textboxrect="0,0,810260,0"/>
            </v:shape>
          </v:group>
        </w:pict>
      </w:r>
      <w:r w:rsidR="00A3046D"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="00A3046D"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="00A3046D"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="00A3046D"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="00A3046D"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="00A3046D"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="00A3046D" w:rsidRPr="00E53F53">
        <w:rPr>
          <w:rFonts w:ascii="Times New Roman" w:hAnsi="Times New Roman" w:cs="Times New Roman"/>
          <w:sz w:val="28"/>
          <w:szCs w:val="28"/>
          <w:vertAlign w:val="superscript"/>
        </w:rPr>
        <w:t>ЧСН</w:t>
      </w:r>
      <w:r w:rsidR="00A3046D"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r w:rsidR="00A3046D"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="00A3046D" w:rsidRPr="00E53F53">
        <w:rPr>
          <w:rFonts w:ascii="Times New Roman" w:hAnsi="Times New Roman" w:cs="Times New Roman"/>
          <w:sz w:val="28"/>
          <w:szCs w:val="28"/>
        </w:rPr>
        <w:t>где:</w:t>
      </w:r>
    </w:p>
    <w:p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  <w:t>ЧСН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135" w:type="dxa"/>
        <w:tblInd w:w="62" w:type="dxa"/>
        <w:tblLook w:val="04A0"/>
      </w:tblPr>
      <w:tblGrid>
        <w:gridCol w:w="229"/>
        <w:gridCol w:w="9063"/>
      </w:tblGrid>
      <w:tr w:rsidR="00A3046D" w:rsidRPr="00E53F53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объеминогомежбюджетноготрансферта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предоставляемыйбюджету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гопоселениянафинансовоеобеспечениезатратпосозданиюи(или)содерж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аниюмест(площадок)накоплениятвердыхкоммунальныхотходов;</w:t>
            </w:r>
          </w:p>
        </w:tc>
      </w:tr>
      <w:tr w:rsidR="00A3046D" w:rsidRPr="00E53F53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общийобъеминыхмежбюджетныхтрансфертов,предусмотренныйвбюджете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насоответствующийфинансовыйгоднафинансовоеобеспечениезатратпосозданиюи(или)содержаниюмест(площадок)накоплениятвердыхкоммунальныхотходов;</w:t>
            </w:r>
          </w:p>
        </w:tc>
      </w:tr>
      <w:tr w:rsidR="00A3046D" w:rsidRPr="00E53F53" w:rsidTr="001D6C33">
        <w:trPr>
          <w:trHeight w:val="10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ЧСН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численностьнаселения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01 января текущего финансового года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i-го поселения,бюджетукоторогопредоставляетсяиноймежбюджетныйтрансфертнафинансовоеобеспечениезатратпосозданиюи(или)содержаниюмест(площадок)накоплениятвердыхкоммунальныхотходов;</w:t>
            </w:r>
          </w:p>
        </w:tc>
      </w:tr>
      <w:tr w:rsidR="00A3046D" w:rsidRPr="00E53F53" w:rsidTr="001D6C33">
        <w:trPr>
          <w:trHeight w:val="100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личествопоселений,которымпредоставляютсяиныемежбюджетныетрансфертынафинансовоеобеспечениезатратпосозданиюи(или)содержаниюмест(площадок)накоплениятвердыхкоммунальныхотходов.</w:t>
            </w:r>
          </w:p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муниципального района с Администрациями  поселений Батецкого муниципального района (далее – соглашение) согласно приложению 1 к настоящ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 П</w:t>
            </w:r>
            <w:r w:rsidR="00960773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, содержащим и следующие положения:</w:t>
            </w:r>
          </w:p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сведения об объеме иных межбюджетных трансфертов;</w:t>
            </w:r>
          </w:p>
          <w:p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целевое назначение иных межбюджетных трансфертов;</w:t>
            </w:r>
          </w:p>
          <w:p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порядок и сроки перечисления иных межбюджетных трансфертов;</w:t>
            </w:r>
          </w:p>
          <w:p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контроля за использованием условий соглашения;</w:t>
            </w:r>
          </w:p>
          <w:p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ответственность сторон за нарушение условий соглашения;</w:t>
            </w:r>
          </w:p>
          <w:p w:rsidR="00A3046D" w:rsidRPr="00E53F53" w:rsidRDefault="00A3046D" w:rsidP="00A562FB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      </w:r>
          </w:p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 условия, регулирующие порядок предоставления иных межбюджетных трансфертов, определяемые по соглашению сторон.</w:t>
            </w:r>
          </w:p>
          <w:p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6. 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Отчет об использовании иных межбюджетных трансфертов предоставляется в комитет финансов  ежеквартально до 5 числа месяца, 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:rsidR="00A3046D" w:rsidRPr="00E53F53" w:rsidRDefault="00A3046D" w:rsidP="00A562FB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46D" w:rsidRPr="00E53F53" w:rsidRDefault="00A3046D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46D" w:rsidRDefault="00A3046D" w:rsidP="00A3046D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:rsidR="00275C84" w:rsidRDefault="00275C84" w:rsidP="0059703B">
      <w:pPr>
        <w:pStyle w:val="ConsPlusNormal"/>
        <w:jc w:val="center"/>
        <w:outlineLvl w:val="0"/>
      </w:pPr>
    </w:p>
    <w:p w:rsidR="009872A6" w:rsidRDefault="009872A6" w:rsidP="0069619F">
      <w:pPr>
        <w:pStyle w:val="ConsPlusNormal"/>
        <w:jc w:val="right"/>
        <w:outlineLvl w:val="0"/>
      </w:pPr>
    </w:p>
    <w:p w:rsidR="009872A6" w:rsidRPr="009872A6" w:rsidRDefault="009872A6" w:rsidP="0069619F">
      <w:pPr>
        <w:pStyle w:val="ConsPlusNormal"/>
        <w:jc w:val="right"/>
        <w:outlineLvl w:val="0"/>
      </w:pPr>
    </w:p>
    <w:p w:rsidR="00A3046D" w:rsidRDefault="00A3046D" w:rsidP="00A3046D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</w:p>
    <w:p w:rsidR="00430209" w:rsidRPr="00C33623" w:rsidRDefault="00430209" w:rsidP="00A3046D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:rsidR="00430209" w:rsidRPr="00A562FB" w:rsidRDefault="00430209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20"/>
        <w:gridCol w:w="9350"/>
      </w:tblGrid>
      <w:tr w:rsidR="00430209" w:rsidTr="00430209">
        <w:tc>
          <w:tcPr>
            <w:tcW w:w="4672" w:type="dxa"/>
          </w:tcPr>
          <w:p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иныхмежбюджетныхтрансфертовбюджетам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нафинансовоеобеспечениезатратпосозданиюи(или)содержаниюмест(площадок)накоплениятвердыхкоммунальныхотходовв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</w:tbl>
    <w:p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</w:p>
    <w:p w:rsidR="00356B71" w:rsidRPr="002D5415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960773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356B71" w:rsidRPr="00960773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:rsidR="00356B71" w:rsidRPr="00960773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</w:p>
    <w:p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 «___» _____________ 2022 года </w:t>
      </w:r>
    </w:p>
    <w:p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______________ сельского поселения Батецкого муниципального района, именуемая в дальнейшем «Администрация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поселения», в лице Главы __________ сельского поселения ___________, действующего на основании Устава _________ сельского поселения, с другой стороны,</w:t>
      </w:r>
    </w:p>
    <w:p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</w:t>
      </w:r>
    </w:p>
    <w:p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от </w:t>
      </w:r>
      <w:r w:rsidRPr="00960773">
        <w:rPr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по созданию и (или) содержанию мест (площадок) накопления твердых коммунальных отходов в 2022 году, утвержденными решением Думы Батецкого муниципального района от __.07.2022 № ___-РД, заключили настоящее Соглашение о нижеследующем:</w:t>
      </w:r>
    </w:p>
    <w:p w:rsidR="00356B71" w:rsidRPr="00960773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Батецкого муниципального района бюджету ______________ сельского поселения иного межбюджетного трансферт, имеющего целевое назначение на создание и (или) содержание мест (площадок) накопления твердых коммунальных отходов (далее иной межбюджетный трансферт) по коду классификации расходов бюджетов Российской Федерации: </w:t>
      </w:r>
    </w:p>
    <w:p w:rsidR="00356B71" w:rsidRPr="00960773" w:rsidRDefault="00356B71" w:rsidP="00A562FB">
      <w:pPr>
        <w:spacing w:after="200" w:line="276" w:lineRule="auto"/>
        <w:jc w:val="both"/>
        <w:rPr>
          <w:rFonts w:ascii="Calibri" w:eastAsia="Times New Roman" w:hAnsi="Calibri" w:cs="Times New Roman"/>
          <w:szCs w:val="24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КБК 892 0605 0420076210 540 в рамках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района"во исполнение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государственной программы Новгородской области «Охрана окружающей среды Новгородской области на 2014-2024 годы».</w:t>
      </w:r>
    </w:p>
    <w:p w:rsidR="00356B71" w:rsidRPr="00960773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Pr="00960773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 , в соответствии с настоящим Соглашениемсоставляет ____________ (_____________________) рубль ______ копейки.</w:t>
      </w:r>
    </w:p>
    <w:p w:rsidR="00356B71" w:rsidRPr="00960773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960773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создание и (или) содержание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мест (площадок) накопления твердых коммунальных отходов в 2022 году на территории ____________________ сельского поселения Батецкого муниципального района.</w:t>
      </w:r>
    </w:p>
    <w:p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:rsidR="00356B71" w:rsidRPr="00960773" w:rsidRDefault="00356B71" w:rsidP="00A562FB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:rsidR="00356B71" w:rsidRPr="00960773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:rsidR="00356B71" w:rsidRPr="00960773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</w:t>
      </w:r>
      <w:r w:rsidRPr="00960773">
        <w:rPr>
          <w:spacing w:val="-2"/>
          <w:sz w:val="28"/>
          <w:szCs w:val="28"/>
        </w:rPr>
        <w:lastRenderedPageBreak/>
        <w:t>установленные бюджетным законодательством Российской Федерации.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:rsidR="00356B71" w:rsidRPr="00960773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356B71" w:rsidRPr="00960773" w:rsidRDefault="00356B71" w:rsidP="00A562FB">
      <w:pPr>
        <w:pStyle w:val="ConsPlusNormal"/>
        <w:spacing w:before="120" w:after="120" w:line="240" w:lineRule="atLeast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:rsidR="00356B71" w:rsidRPr="00960773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0"/>
        <w:gridCol w:w="2695"/>
        <w:gridCol w:w="1988"/>
        <w:gridCol w:w="2401"/>
        <w:gridCol w:w="6"/>
      </w:tblGrid>
      <w:tr w:rsidR="00356B71" w:rsidRPr="00960773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356B71" w:rsidRPr="00960773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пос.Батецкий, ул. Советская, д. 39А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Новгородской области (Комитет 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Администрации Батецкого муниципального района л/с 0450300692)</w:t>
            </w:r>
          </w:p>
          <w:p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:rsidR="00356B71" w:rsidRPr="00960773" w:rsidRDefault="009B091A" w:rsidP="002B095C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89220249999057621150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lastRenderedPageBreak/>
              <w:t>Место нахождения: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lastRenderedPageBreak/>
              <w:t>л/с Банк получателя: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B71" w:rsidRDefault="00356B71" w:rsidP="00356B71">
      <w:pPr>
        <w:pStyle w:val="ConsPlusNormal"/>
        <w:sectPr w:rsidR="00356B71" w:rsidSect="002B646C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p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создание и (или) содержание мест (площадок) накопления твердых коммунальных отходов в 2022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tbl>
      <w:tblPr>
        <w:tblStyle w:val="ac"/>
        <w:tblW w:w="0" w:type="auto"/>
        <w:tblLook w:val="04A0"/>
      </w:tblPr>
      <w:tblGrid>
        <w:gridCol w:w="3369"/>
        <w:gridCol w:w="1842"/>
        <w:gridCol w:w="1555"/>
        <w:gridCol w:w="1564"/>
        <w:gridCol w:w="1559"/>
        <w:gridCol w:w="1985"/>
        <w:gridCol w:w="3793"/>
      </w:tblGrid>
      <w:tr w:rsidR="00356B71" w:rsidTr="002B095C">
        <w:tc>
          <w:tcPr>
            <w:tcW w:w="3369" w:type="dxa"/>
          </w:tcPr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55" w:type="dxa"/>
          </w:tcPr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59" w:type="dxa"/>
          </w:tcPr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85" w:type="dxa"/>
          </w:tcPr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созданных (новых) мест (площадок)</w:t>
            </w:r>
          </w:p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3793" w:type="dxa"/>
          </w:tcPr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существующих мест</w:t>
            </w:r>
          </w:p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(площадок) накопления твердых коммунальных отходов и (или)</w:t>
            </w:r>
          </w:p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специальных площадок для накопления крупногабаритных отходов, 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риведенных в соответствие поло</w:t>
            </w: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жениям санитарных правил и норм</w:t>
            </w:r>
          </w:p>
          <w:p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СанПиН 2.1.3684-21</w:t>
            </w:r>
          </w:p>
        </w:tc>
      </w:tr>
      <w:tr w:rsidR="00356B71" w:rsidTr="002B095C">
        <w:tc>
          <w:tcPr>
            <w:tcW w:w="3369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6B71" w:rsidTr="002B095C">
        <w:tc>
          <w:tcPr>
            <w:tcW w:w="3369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71" w:rsidTr="002B095C">
        <w:tc>
          <w:tcPr>
            <w:tcW w:w="3369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________сельского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C4" w:rsidRDefault="00DF08C4">
      <w:pPr>
        <w:spacing w:after="0" w:line="240" w:lineRule="auto"/>
      </w:pPr>
      <w:r>
        <w:separator/>
      </w:r>
    </w:p>
  </w:endnote>
  <w:endnote w:type="continuationSeparator" w:id="1">
    <w:p w:rsidR="00DF08C4" w:rsidRDefault="00DF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C4" w:rsidRDefault="00DF08C4">
      <w:pPr>
        <w:spacing w:after="0" w:line="240" w:lineRule="auto"/>
      </w:pPr>
      <w:r>
        <w:separator/>
      </w:r>
    </w:p>
  </w:footnote>
  <w:footnote w:type="continuationSeparator" w:id="1">
    <w:p w:rsidR="00DF08C4" w:rsidRDefault="00DF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6B71" w:rsidRPr="00F20E0C" w:rsidRDefault="009B091A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6B71"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A4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9F"/>
    <w:rsid w:val="00002562"/>
    <w:rsid w:val="000313E7"/>
    <w:rsid w:val="00072E90"/>
    <w:rsid w:val="00083DE7"/>
    <w:rsid w:val="0008492A"/>
    <w:rsid w:val="000A36DA"/>
    <w:rsid w:val="000D232D"/>
    <w:rsid w:val="00111558"/>
    <w:rsid w:val="00137B49"/>
    <w:rsid w:val="00154A8C"/>
    <w:rsid w:val="001962BC"/>
    <w:rsid w:val="00196A06"/>
    <w:rsid w:val="001A722B"/>
    <w:rsid w:val="001C4039"/>
    <w:rsid w:val="001D2A04"/>
    <w:rsid w:val="00253FA3"/>
    <w:rsid w:val="00275C84"/>
    <w:rsid w:val="002A24A6"/>
    <w:rsid w:val="002D2A77"/>
    <w:rsid w:val="002D5661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C2464"/>
    <w:rsid w:val="0059703B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E776D"/>
    <w:rsid w:val="007F24FC"/>
    <w:rsid w:val="007F7485"/>
    <w:rsid w:val="007F7A29"/>
    <w:rsid w:val="008550EB"/>
    <w:rsid w:val="00855F86"/>
    <w:rsid w:val="00891194"/>
    <w:rsid w:val="008A74BA"/>
    <w:rsid w:val="008E612D"/>
    <w:rsid w:val="009134A1"/>
    <w:rsid w:val="009278DA"/>
    <w:rsid w:val="00960773"/>
    <w:rsid w:val="009872A6"/>
    <w:rsid w:val="00995345"/>
    <w:rsid w:val="009B0865"/>
    <w:rsid w:val="009B091A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31985"/>
    <w:rsid w:val="00B3460B"/>
    <w:rsid w:val="00B76777"/>
    <w:rsid w:val="00BB249F"/>
    <w:rsid w:val="00C5672F"/>
    <w:rsid w:val="00CA303C"/>
    <w:rsid w:val="00CD4E6A"/>
    <w:rsid w:val="00CD6E25"/>
    <w:rsid w:val="00CF441C"/>
    <w:rsid w:val="00D30125"/>
    <w:rsid w:val="00D717DE"/>
    <w:rsid w:val="00DF08C4"/>
    <w:rsid w:val="00E03339"/>
    <w:rsid w:val="00E24874"/>
    <w:rsid w:val="00E36C9D"/>
    <w:rsid w:val="00E53F53"/>
    <w:rsid w:val="00E56985"/>
    <w:rsid w:val="00E76A7D"/>
    <w:rsid w:val="00EA11DB"/>
    <w:rsid w:val="00EE1DED"/>
    <w:rsid w:val="00F11B8D"/>
    <w:rsid w:val="00F211D4"/>
    <w:rsid w:val="00F7023D"/>
    <w:rsid w:val="00F929F6"/>
    <w:rsid w:val="00FA6249"/>
    <w:rsid w:val="00FE0A4A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Mashkovskaya</dc:creator>
  <cp:lastModifiedBy>HP</cp:lastModifiedBy>
  <cp:revision>2</cp:revision>
  <cp:lastPrinted>2022-07-21T08:30:00Z</cp:lastPrinted>
  <dcterms:created xsi:type="dcterms:W3CDTF">2022-07-22T06:54:00Z</dcterms:created>
  <dcterms:modified xsi:type="dcterms:W3CDTF">2022-07-22T06:54:00Z</dcterms:modified>
</cp:coreProperties>
</file>