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B73F84" w:rsidRPr="00B73F84">
        <w:tc>
          <w:tcPr>
            <w:tcW w:w="4676" w:type="dxa"/>
          </w:tcPr>
          <w:p w:rsidR="00B73F84" w:rsidRPr="00B73F84" w:rsidRDefault="00B73F84" w:rsidP="00B73F8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B73F84">
              <w:rPr>
                <w:rFonts w:cs="Times New Roman"/>
                <w:sz w:val="28"/>
                <w:szCs w:val="28"/>
              </w:rPr>
              <w:t>28 сентября 2020 года</w:t>
            </w:r>
          </w:p>
        </w:tc>
        <w:tc>
          <w:tcPr>
            <w:tcW w:w="4676" w:type="dxa"/>
          </w:tcPr>
          <w:p w:rsidR="00B73F84" w:rsidRPr="00B73F84" w:rsidRDefault="00B73F84" w:rsidP="00B73F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B73F84">
              <w:rPr>
                <w:rFonts w:cs="Times New Roman"/>
                <w:sz w:val="28"/>
                <w:szCs w:val="28"/>
              </w:rPr>
              <w:t>N 609-ОЗ</w:t>
            </w:r>
          </w:p>
        </w:tc>
      </w:tr>
    </w:tbl>
    <w:p w:rsidR="00B73F84" w:rsidRPr="00B73F84" w:rsidRDefault="00B73F84" w:rsidP="00B73F8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НОВГОРОДСКАЯ ОБЛАСТЬ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ОБЛАСТНОЙ ЗАКОН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О ВНЕСЕНИИ ИЗМЕНЕНИЙ В СТАТЬЮ 1 ОБЛАСТНОГО ЗАКОНА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"О СТАВКЕ НАЛОГА, ВЗИМАЕМОГО В СВЯЗИ С ПРИМЕНЕНИЕМ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УПРОЩЕННОЙ СИСТЕМЫ НАЛОГООБЛОЖЕНИЯ"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Принят</w:t>
      </w:r>
    </w:p>
    <w:p w:rsidR="00B73F84" w:rsidRPr="00B73F84" w:rsidRDefault="00990C15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hyperlink r:id="rId4" w:history="1">
        <w:r w:rsidR="00B73F84" w:rsidRPr="00B73F8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Новгородской областной Думы</w:t>
      </w: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от 23.09.2020 N 1061-ОД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Статья 1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 xml:space="preserve">Внести в статью 1 областного закона от 31.03.2009 N 487-ОЗ "О ставке налога, взимаемого в связи с применением упрощенной системы налогообложения" (газета "Новгородские ведомости" от 07.04.2009, 06.11.2009, 11.03.2011, 03.02.2017, 03.11.2017, 02.11.2018, 06.12.2019, 03.04.2020, 28.04.2020) изменения, изложив </w:t>
      </w:r>
      <w:hyperlink r:id="rId5" w:history="1">
        <w:r w:rsidRPr="00B73F84">
          <w:rPr>
            <w:rFonts w:cs="Times New Roman"/>
            <w:color w:val="0000FF"/>
            <w:sz w:val="28"/>
            <w:szCs w:val="28"/>
          </w:rPr>
          <w:t>абзацы шестнадцатый</w:t>
        </w:r>
      </w:hyperlink>
      <w:r w:rsidRPr="00B73F84">
        <w:rPr>
          <w:rFonts w:cs="Times New Roman"/>
          <w:sz w:val="28"/>
          <w:szCs w:val="28"/>
        </w:rPr>
        <w:t xml:space="preserve"> и </w:t>
      </w:r>
      <w:hyperlink r:id="rId6" w:history="1">
        <w:r w:rsidRPr="00B73F84">
          <w:rPr>
            <w:rFonts w:cs="Times New Roman"/>
            <w:color w:val="0000FF"/>
            <w:sz w:val="28"/>
            <w:szCs w:val="28"/>
          </w:rPr>
          <w:t>семнадцатый</w:t>
        </w:r>
      </w:hyperlink>
      <w:r w:rsidRPr="00B73F84">
        <w:rPr>
          <w:rFonts w:cs="Times New Roman"/>
          <w:sz w:val="28"/>
          <w:szCs w:val="28"/>
        </w:rPr>
        <w:t xml:space="preserve"> в следующей редакции: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 xml:space="preserve">"Установить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 в соответствии с Общероссийским </w:t>
      </w:r>
      <w:hyperlink r:id="rId7" w:history="1">
        <w:r w:rsidRPr="00B73F84">
          <w:rPr>
            <w:rFonts w:cs="Times New Roman"/>
            <w:color w:val="0000FF"/>
            <w:sz w:val="28"/>
            <w:szCs w:val="28"/>
          </w:rPr>
          <w:t>классификатором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включенные в </w:t>
      </w:r>
      <w:hyperlink r:id="rId8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области, или в </w:t>
      </w:r>
      <w:hyperlink r:id="rId9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области.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lastRenderedPageBreak/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 в соответствии с Общероссийским </w:t>
      </w:r>
      <w:hyperlink r:id="rId10" w:history="1">
        <w:r w:rsidRPr="00B73F84">
          <w:rPr>
            <w:rFonts w:cs="Times New Roman"/>
            <w:color w:val="0000FF"/>
            <w:sz w:val="28"/>
            <w:szCs w:val="28"/>
          </w:rPr>
          <w:t>классификатором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включенные в </w:t>
      </w:r>
      <w:hyperlink r:id="rId11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области, или в </w:t>
      </w:r>
      <w:hyperlink r:id="rId12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области.".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Статья 2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Настоящий областной закон действует по 31 декабря 2020 года включительно.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Губернатор Новгородской области</w:t>
      </w: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А.С.НИКИТИН</w:t>
      </w:r>
    </w:p>
    <w:p w:rsidR="00B73F84" w:rsidRPr="00B73F84" w:rsidRDefault="00B73F84" w:rsidP="00B73F8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Великий Новгород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28 сентября 2020 года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N 609-ОЗ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B75FB" w:rsidRDefault="006B75FB"/>
    <w:sectPr w:rsidR="006B75FB" w:rsidSect="00FC5787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84"/>
    <w:rsid w:val="006B75FB"/>
    <w:rsid w:val="00990C15"/>
    <w:rsid w:val="00B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73710-1A99-4F0B-A61F-6C2D432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ADB682BF1C4A04E27A44A22AB2EB4E5BD17EC734F3B76359E86E75D40D657B6BEAEBB065B0472C36848D25DBAF0D78B2A1p2S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71D925289A0355DDEB3BB94D3434203EC2441AB24BCB911048A23903DF9E03616E92030D812647A74EEEEB9p3S1I" TargetMode="External"/><Relationship Id="rId12" Type="http://schemas.openxmlformats.org/officeDocument/2006/relationships/hyperlink" Target="consultantplus://offline/ref=7D471D925289A0355DDEADB682BF1C4A04E27A44A323B7E7495BD17EC734F3B76359E86E75D40D657B6AEEEDB065B0472C36848D25DBAF0D78B2A1p2S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B682BF1C4A04E27A44A22BBFEB4A5BD17EC734F3B76359E86E75D40E66703EBDAAEE3CE002673A849239DAACp1S3I" TargetMode="External"/><Relationship Id="rId11" Type="http://schemas.openxmlformats.org/officeDocument/2006/relationships/hyperlink" Target="consultantplus://offline/ref=7D471D925289A0355DDEADB682BF1C4A04E27A44A22AB2EB4E5BD17EC734F3B76359E86E75D40D657B6BEAEBB065B0472C36848D25DBAF0D78B2A1p2S0I" TargetMode="External"/><Relationship Id="rId5" Type="http://schemas.openxmlformats.org/officeDocument/2006/relationships/hyperlink" Target="consultantplus://offline/ref=7D471D925289A0355DDEADB682BF1C4A04E27A44A22BBFEB4A5BD17EC734F3B76359E86E75D40E60703EBDAAEE3CE002673A849239DAACp1S3I" TargetMode="External"/><Relationship Id="rId10" Type="http://schemas.openxmlformats.org/officeDocument/2006/relationships/hyperlink" Target="consultantplus://offline/ref=7D471D925289A0355DDEB3BB94D3434203EC2441AB24BCB911048A23903DF9E03616E92030D812647A74EEEEB9p3S1I" TargetMode="External"/><Relationship Id="rId4" Type="http://schemas.openxmlformats.org/officeDocument/2006/relationships/hyperlink" Target="consultantplus://offline/ref=7D471D925289A0355DDEADBF9BB81C4A04E27A44A822B4EC4A5BD17EC734F3B76359E87C758C01647A74EDEFA533E101p7S9I" TargetMode="External"/><Relationship Id="rId9" Type="http://schemas.openxmlformats.org/officeDocument/2006/relationships/hyperlink" Target="consultantplus://offline/ref=7D471D925289A0355DDEADB682BF1C4A04E27A44A323B7E7495BD17EC734F3B76359E86E75D40D657B6AEEEDB065B0472C36848D25DBAF0D78B2A1p2S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Филипп</cp:lastModifiedBy>
  <cp:revision>2</cp:revision>
  <dcterms:created xsi:type="dcterms:W3CDTF">2020-11-11T11:31:00Z</dcterms:created>
  <dcterms:modified xsi:type="dcterms:W3CDTF">2020-11-11T11:31:00Z</dcterms:modified>
</cp:coreProperties>
</file>